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9B915" w14:textId="0C83850D" w:rsidR="00B21AC7" w:rsidRDefault="00B21AC7" w:rsidP="008B1D32">
      <w:pPr>
        <w:jc w:val="center"/>
      </w:pPr>
      <w:r w:rsidRPr="0028003E">
        <w:rPr>
          <w:b/>
          <w:bCs/>
        </w:rPr>
        <w:t>“let us walk in the light of the Lord!</w:t>
      </w:r>
      <w:r w:rsidR="0028003E" w:rsidRPr="0028003E">
        <w:rPr>
          <w:b/>
          <w:bCs/>
        </w:rPr>
        <w:t>”</w:t>
      </w:r>
      <w:r>
        <w:t xml:space="preserve">  (I</w:t>
      </w:r>
      <w:r w:rsidR="00410332">
        <w:t>s</w:t>
      </w:r>
      <w:r>
        <w:t xml:space="preserve"> 2:5)</w:t>
      </w:r>
    </w:p>
    <w:p w14:paraId="37ACBA31" w14:textId="77777777" w:rsidR="0028003E" w:rsidRDefault="00F53796" w:rsidP="008B1D32">
      <w:pPr>
        <w:jc w:val="center"/>
        <w:rPr>
          <w:i/>
          <w:iCs/>
        </w:rPr>
      </w:pPr>
      <w:r w:rsidRPr="0028003E">
        <w:rPr>
          <w:i/>
          <w:iCs/>
        </w:rPr>
        <w:t>“No one pours new win</w:t>
      </w:r>
      <w:r w:rsidR="00177116" w:rsidRPr="0028003E">
        <w:rPr>
          <w:i/>
          <w:iCs/>
        </w:rPr>
        <w:t>e</w:t>
      </w:r>
      <w:r w:rsidRPr="0028003E">
        <w:rPr>
          <w:i/>
          <w:iCs/>
        </w:rPr>
        <w:t xml:space="preserve"> into old wineskins. Otherwise, the wine will burst the skins. And both the wine and </w:t>
      </w:r>
    </w:p>
    <w:p w14:paraId="1826B2FC" w14:textId="04B53B33" w:rsidR="00F53796" w:rsidRDefault="00F53796" w:rsidP="008B1D32">
      <w:pPr>
        <w:jc w:val="center"/>
      </w:pPr>
      <w:r w:rsidRPr="0028003E">
        <w:rPr>
          <w:i/>
          <w:iCs/>
        </w:rPr>
        <w:t>the skins are ruined. Rather, new wine is poured into new wineskins.”</w:t>
      </w:r>
      <w:r>
        <w:t xml:space="preserve"> (Mk2:21-22)</w:t>
      </w:r>
    </w:p>
    <w:p w14:paraId="06E82120" w14:textId="77777777" w:rsidR="00EE36D6" w:rsidRPr="00B92B5D" w:rsidRDefault="00EE36D6" w:rsidP="00EE36D6">
      <w:pPr>
        <w:rPr>
          <w:rFonts w:cstheme="minorHAnsi"/>
          <w:color w:val="000000" w:themeColor="text1"/>
        </w:rPr>
      </w:pPr>
      <w:r>
        <w:rPr>
          <w:rFonts w:cstheme="minorHAnsi"/>
          <w:color w:val="000000" w:themeColor="text1"/>
        </w:rPr>
        <w:t>“It seems important that we underline that at the foundation of every journey is the need of a new thrust toward holiness on the part of consecrated men and women. This is unthinkable without an impulse of renewed passion for the Gospel at the service of the Kingdom. The Spirit of the Risen One who continues to speak to the Church with his inspirations moves us along this journey. (</w:t>
      </w:r>
      <w:proofErr w:type="spellStart"/>
      <w:r>
        <w:rPr>
          <w:rFonts w:cstheme="minorHAnsi"/>
          <w:color w:val="000000" w:themeColor="text1"/>
        </w:rPr>
        <w:t>NWiNW</w:t>
      </w:r>
      <w:proofErr w:type="spellEnd"/>
      <w:r>
        <w:rPr>
          <w:rFonts w:cstheme="minorHAnsi"/>
          <w:color w:val="000000" w:themeColor="text1"/>
        </w:rPr>
        <w:t xml:space="preserve"> 10)</w:t>
      </w:r>
    </w:p>
    <w:p w14:paraId="016A488C" w14:textId="0E431958" w:rsidR="00B21AC7" w:rsidRPr="00F53796" w:rsidRDefault="00B21AC7" w:rsidP="00B21AC7">
      <w:pPr>
        <w:rPr>
          <w:color w:val="000000" w:themeColor="text1"/>
        </w:rPr>
      </w:pPr>
      <w:r w:rsidRPr="00F53796">
        <w:rPr>
          <w:color w:val="000000" w:themeColor="text1"/>
        </w:rPr>
        <w:t xml:space="preserve">The good wine and the new wine thus symbolize Jesus’ behavior and teaching which cannot be contained in the old wineskins of centuries-old religious schemes which are incapable of </w:t>
      </w:r>
      <w:proofErr w:type="gramStart"/>
      <w:r w:rsidR="0028003E" w:rsidRPr="00F53796">
        <w:rPr>
          <w:color w:val="000000" w:themeColor="text1"/>
        </w:rPr>
        <w:t>opening up</w:t>
      </w:r>
      <w:proofErr w:type="gramEnd"/>
      <w:r w:rsidRPr="00F53796">
        <w:rPr>
          <w:color w:val="000000" w:themeColor="text1"/>
        </w:rPr>
        <w:t xml:space="preserve"> themselves to new promises (</w:t>
      </w:r>
      <w:r w:rsidR="008B1D32" w:rsidRPr="00F53796">
        <w:rPr>
          <w:color w:val="000000" w:themeColor="text1"/>
        </w:rPr>
        <w:t>NWiNW</w:t>
      </w:r>
      <w:r w:rsidRPr="00F53796">
        <w:rPr>
          <w:color w:val="000000" w:themeColor="text1"/>
        </w:rPr>
        <w:t>2)</w:t>
      </w:r>
    </w:p>
    <w:p w14:paraId="656DE2C5" w14:textId="141A7E93" w:rsidR="00B21AC7" w:rsidRPr="00F53796" w:rsidRDefault="00B21AC7" w:rsidP="00B21AC7">
      <w:pPr>
        <w:rPr>
          <w:color w:val="000000" w:themeColor="text1"/>
        </w:rPr>
      </w:pPr>
      <w:r w:rsidRPr="00F53796">
        <w:rPr>
          <w:color w:val="000000" w:themeColor="text1"/>
        </w:rPr>
        <w:t xml:space="preserve">The Lord Jesus’ word helps us assume the challenge of a newness which demands not only acceptance but also discernment.  It is necessary to create structures that </w:t>
      </w:r>
      <w:proofErr w:type="gramStart"/>
      <w:r w:rsidRPr="00F53796">
        <w:rPr>
          <w:color w:val="000000" w:themeColor="text1"/>
        </w:rPr>
        <w:t>are capable of safeguarding</w:t>
      </w:r>
      <w:proofErr w:type="gramEnd"/>
      <w:r w:rsidRPr="00F53796">
        <w:rPr>
          <w:color w:val="000000" w:themeColor="text1"/>
        </w:rPr>
        <w:t xml:space="preserve"> the innovative richness of the gospel so that it can be lived and put at the service of while preserving its quality and goodness.  (</w:t>
      </w:r>
      <w:r w:rsidR="008B1D32" w:rsidRPr="00F53796">
        <w:rPr>
          <w:color w:val="000000" w:themeColor="text1"/>
        </w:rPr>
        <w:t>NWiNW</w:t>
      </w:r>
      <w:r w:rsidRPr="00F53796">
        <w:rPr>
          <w:color w:val="000000" w:themeColor="text1"/>
        </w:rPr>
        <w:t>2)</w:t>
      </w:r>
    </w:p>
    <w:p w14:paraId="79FBE77A" w14:textId="66904CFE" w:rsidR="00B13876" w:rsidRDefault="00EA7160" w:rsidP="00B21AC7">
      <w:pPr>
        <w:rPr>
          <w:color w:val="231F20"/>
          <w:spacing w:val="-2"/>
        </w:rPr>
      </w:pPr>
      <w:r>
        <w:rPr>
          <w:noProof/>
        </w:rPr>
        <w:drawing>
          <wp:anchor distT="0" distB="0" distL="114300" distR="114300" simplePos="0" relativeHeight="251658240" behindDoc="0" locked="0" layoutInCell="1" allowOverlap="1" wp14:anchorId="6086F420" wp14:editId="6BCB0E1F">
            <wp:simplePos x="0" y="0"/>
            <wp:positionH relativeFrom="margin">
              <wp:align>left</wp:align>
            </wp:positionH>
            <wp:positionV relativeFrom="margin">
              <wp:posOffset>3461385</wp:posOffset>
            </wp:positionV>
            <wp:extent cx="2484120" cy="2380615"/>
            <wp:effectExtent l="0" t="0" r="0" b="635"/>
            <wp:wrapSquare wrapText="bothSides"/>
            <wp:docPr id="2" name="Picture 2" descr="wine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esk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120" cy="238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6D6">
        <w:rPr>
          <w:rFonts w:ascii="Arial" w:hAnsi="Arial" w:cs="Arial"/>
          <w:color w:val="3C3C3C"/>
          <w:sz w:val="21"/>
          <w:szCs w:val="21"/>
          <w:shd w:val="clear" w:color="auto" w:fill="FFFFFF"/>
        </w:rPr>
        <w:t>In other translations the word for “new” is translated as “fresh”. T</w:t>
      </w:r>
      <w:r w:rsidR="008054A1">
        <w:rPr>
          <w:rFonts w:ascii="Arial" w:hAnsi="Arial" w:cs="Arial"/>
          <w:color w:val="3C3C3C"/>
          <w:sz w:val="21"/>
          <w:szCs w:val="21"/>
          <w:shd w:val="clear" w:color="auto" w:fill="FFFFFF"/>
        </w:rPr>
        <w:t xml:space="preserve">he word “fresh” </w:t>
      </w:r>
      <w:r w:rsidR="008B1D32">
        <w:rPr>
          <w:rFonts w:ascii="Arial" w:hAnsi="Arial" w:cs="Arial"/>
          <w:color w:val="3C3C3C"/>
          <w:sz w:val="21"/>
          <w:szCs w:val="21"/>
          <w:shd w:val="clear" w:color="auto" w:fill="FFFFFF"/>
        </w:rPr>
        <w:t xml:space="preserve">can be </w:t>
      </w:r>
      <w:r w:rsidR="008054A1">
        <w:rPr>
          <w:rFonts w:ascii="Arial" w:hAnsi="Arial" w:cs="Arial"/>
          <w:color w:val="3C3C3C"/>
          <w:sz w:val="21"/>
          <w:szCs w:val="21"/>
          <w:shd w:val="clear" w:color="auto" w:fill="FFFFFF"/>
        </w:rPr>
        <w:t xml:space="preserve">used to describe the wineskin used to contain new wine. A fresh wineskin can be a new </w:t>
      </w:r>
      <w:proofErr w:type="gramStart"/>
      <w:r w:rsidR="008054A1">
        <w:rPr>
          <w:rFonts w:ascii="Arial" w:hAnsi="Arial" w:cs="Arial"/>
          <w:color w:val="3C3C3C"/>
          <w:sz w:val="21"/>
          <w:szCs w:val="21"/>
          <w:shd w:val="clear" w:color="auto" w:fill="FFFFFF"/>
        </w:rPr>
        <w:t>wineskin</w:t>
      </w:r>
      <w:proofErr w:type="gramEnd"/>
      <w:r w:rsidR="008054A1">
        <w:rPr>
          <w:rFonts w:ascii="Arial" w:hAnsi="Arial" w:cs="Arial"/>
          <w:color w:val="3C3C3C"/>
          <w:sz w:val="21"/>
          <w:szCs w:val="21"/>
          <w:shd w:val="clear" w:color="auto" w:fill="FFFFFF"/>
        </w:rPr>
        <w:t xml:space="preserve"> but it can also refer to an old wineskin that has been reconditioned. A reconditioned wineskin is as supple as new and </w:t>
      </w:r>
      <w:proofErr w:type="gramStart"/>
      <w:r w:rsidR="008054A1">
        <w:rPr>
          <w:rFonts w:ascii="Arial" w:hAnsi="Arial" w:cs="Arial"/>
          <w:color w:val="3C3C3C"/>
          <w:sz w:val="21"/>
          <w:szCs w:val="21"/>
          <w:shd w:val="clear" w:color="auto" w:fill="FFFFFF"/>
        </w:rPr>
        <w:t>is able to</w:t>
      </w:r>
      <w:proofErr w:type="gramEnd"/>
      <w:r w:rsidR="008054A1">
        <w:rPr>
          <w:rFonts w:ascii="Arial" w:hAnsi="Arial" w:cs="Arial"/>
          <w:color w:val="3C3C3C"/>
          <w:sz w:val="21"/>
          <w:szCs w:val="21"/>
          <w:shd w:val="clear" w:color="auto" w:fill="FFFFFF"/>
        </w:rPr>
        <w:t xml:space="preserve"> hold new wine. To recondition it, an old wineskin needs to be cleaned and then soaked in oil. The wineskin is soaked until it is rejuvenated to its supple and soft state to be ready for the new wine. So old wineskins are not thrown away or only being used to hold old wine. It can be made fresh again to hold new wine!</w:t>
      </w:r>
      <w:r w:rsidR="008B1D32">
        <w:rPr>
          <w:rFonts w:ascii="Arial" w:hAnsi="Arial" w:cs="Arial"/>
          <w:color w:val="3C3C3C"/>
          <w:sz w:val="21"/>
          <w:szCs w:val="21"/>
          <w:shd w:val="clear" w:color="auto" w:fill="FFFFFF"/>
        </w:rPr>
        <w:t>”</w:t>
      </w:r>
      <w:r w:rsidR="00DF7E17">
        <w:rPr>
          <w:rFonts w:ascii="Arial" w:hAnsi="Arial" w:cs="Arial"/>
          <w:color w:val="3C3C3C"/>
          <w:sz w:val="21"/>
          <w:szCs w:val="21"/>
          <w:shd w:val="clear" w:color="auto" w:fill="FFFFFF"/>
        </w:rPr>
        <w:t xml:space="preserve"> </w:t>
      </w:r>
      <w:r w:rsidR="008054A1">
        <w:rPr>
          <w:rFonts w:ascii="Arial" w:hAnsi="Arial" w:cs="Arial"/>
          <w:color w:val="3C3C3C"/>
          <w:sz w:val="21"/>
          <w:szCs w:val="21"/>
          <w:shd w:val="clear" w:color="auto" w:fill="FFFFFF"/>
        </w:rPr>
        <w:t xml:space="preserve"> (Pauline Johnson) </w:t>
      </w:r>
    </w:p>
    <w:p w14:paraId="472624B4" w14:textId="48AD76D6" w:rsidR="008B1D32" w:rsidRDefault="007D6E29" w:rsidP="007D6E29">
      <w:r>
        <w:t xml:space="preserve">With the October Amazonian Synod the members of the church were asked to consider a new face for the church, one with the features of the Indigenous peoples. </w:t>
      </w:r>
      <w:r w:rsidR="008B1D32">
        <w:t xml:space="preserve">Who are these indigenous peoples who are to help us change the face of the Church? </w:t>
      </w:r>
    </w:p>
    <w:p w14:paraId="49B6EE64" w14:textId="5A93ADB1" w:rsidR="007C0058" w:rsidRPr="0012175E" w:rsidRDefault="00A60237" w:rsidP="0012175E">
      <w:pPr>
        <w:pStyle w:val="ListParagraph"/>
        <w:ind w:left="394"/>
        <w:rPr>
          <w:b/>
          <w:bCs/>
        </w:rPr>
      </w:pPr>
      <w:r>
        <w:t>As the Amazonian indigenous peoples seek life in abundance this takes the form of what they call ‘good living</w:t>
      </w:r>
      <w:proofErr w:type="gramStart"/>
      <w:r>
        <w:t>’, and</w:t>
      </w:r>
      <w:proofErr w:type="gramEnd"/>
      <w:r>
        <w:t xml:space="preserve"> is fully realized in the Beatitudes. It is a matter of living in harmony with oneself, with nature, with human beings and with the supreme being, since the</w:t>
      </w:r>
      <w:r w:rsidR="006965CB">
        <w:t>r</w:t>
      </w:r>
      <w:r>
        <w:t xml:space="preserve">e is intercommunication within the whole cosmos, where there are neither exclusions nor those who exclude, and where we can forge a project of full life for all. Such an understanding of life is characterized by the connectedness and harmony of relationships between water, territory and nature, community life and culture, God and various spiritual forces. For them, ‘good living’ means understanding the centrality of the transcendent relational character of human beings and of </w:t>
      </w:r>
      <w:proofErr w:type="gramStart"/>
      <w:r>
        <w:t>creation, and</w:t>
      </w:r>
      <w:proofErr w:type="gramEnd"/>
      <w:r>
        <w:t xml:space="preserve"> implies ‘good acting’ too. This integral way is expressed </w:t>
      </w:r>
      <w:r w:rsidR="006965CB">
        <w:t xml:space="preserve">in </w:t>
      </w:r>
      <w:r>
        <w:t xml:space="preserve">their own way of organizing that starts from the family and the community and that embraces a responsible use of all the goods of creation. Indigenous people aspire to better living conditions, especially in health and education. They want to enjoy the sustainable development that they themselves choose and shape and that maintains harmony with their traditional ways of life, in a dialogue between their ancestral wisdom and technology and the new ones acquired. (9) </w:t>
      </w:r>
      <w:r w:rsidRPr="006B7825">
        <w:rPr>
          <w:b/>
          <w:bCs/>
        </w:rPr>
        <w:t>Amazonia: New Ways for the Church and for an Integral Ecology</w:t>
      </w:r>
    </w:p>
    <w:p w14:paraId="13D27BBF" w14:textId="77777777" w:rsidR="007C0058" w:rsidRDefault="007C0058" w:rsidP="00130C59">
      <w:pPr>
        <w:pStyle w:val="ListParagraph"/>
        <w:ind w:left="394"/>
        <w:rPr>
          <w:b/>
          <w:bCs/>
        </w:rPr>
      </w:pPr>
    </w:p>
    <w:p w14:paraId="590063D5" w14:textId="77777777" w:rsidR="007C0058" w:rsidRDefault="007C0058" w:rsidP="00130C59">
      <w:pPr>
        <w:pStyle w:val="ListParagraph"/>
        <w:ind w:left="394"/>
        <w:rPr>
          <w:b/>
          <w:bCs/>
        </w:rPr>
      </w:pPr>
    </w:p>
    <w:p w14:paraId="25FE8D66" w14:textId="77777777" w:rsidR="007C0058" w:rsidRDefault="007C0058" w:rsidP="00130C59">
      <w:pPr>
        <w:pStyle w:val="ListParagraph"/>
        <w:ind w:left="394"/>
        <w:rPr>
          <w:b/>
          <w:bCs/>
        </w:rPr>
      </w:pPr>
    </w:p>
    <w:p w14:paraId="1438D698" w14:textId="77777777" w:rsidR="007C0058" w:rsidRDefault="007C0058" w:rsidP="00130C59">
      <w:pPr>
        <w:pStyle w:val="ListParagraph"/>
        <w:ind w:left="394"/>
        <w:rPr>
          <w:b/>
          <w:bCs/>
        </w:rPr>
      </w:pPr>
    </w:p>
    <w:p w14:paraId="3E9EF57D" w14:textId="77777777" w:rsidR="007C0058" w:rsidRDefault="007C0058" w:rsidP="00130C59">
      <w:pPr>
        <w:pStyle w:val="ListParagraph"/>
        <w:ind w:left="394"/>
        <w:rPr>
          <w:b/>
          <w:bCs/>
        </w:rPr>
      </w:pPr>
    </w:p>
    <w:p w14:paraId="74A7FA94" w14:textId="77777777" w:rsidR="007C0058" w:rsidRDefault="007C0058" w:rsidP="00130C59">
      <w:pPr>
        <w:pStyle w:val="ListParagraph"/>
        <w:ind w:left="394"/>
        <w:rPr>
          <w:b/>
          <w:bCs/>
        </w:rPr>
      </w:pPr>
    </w:p>
    <w:p w14:paraId="008BB5CD" w14:textId="2C940A9B" w:rsidR="0012175E" w:rsidRDefault="0012175E" w:rsidP="00130C59">
      <w:pPr>
        <w:pStyle w:val="ListParagraph"/>
        <w:ind w:left="394"/>
      </w:pPr>
      <w:r>
        <w:rPr>
          <w:b/>
          <w:bCs/>
        </w:rPr>
        <w:lastRenderedPageBreak/>
        <w:t xml:space="preserve">In a </w:t>
      </w:r>
      <w:r>
        <w:t xml:space="preserve">recent meeting with CLAR, the religious men and women of 22 countries in Latin America and the Caribbean </w:t>
      </w:r>
      <w:bookmarkStart w:id="0" w:name="_GoBack"/>
      <w:bookmarkEnd w:id="0"/>
      <w:r>
        <w:t>shared the symbol of the wedding feast of Cana and discussed the new wine being put into each of the jars. The following petitions ask for the graces being sought from the fermenting of the new wine.</w:t>
      </w:r>
    </w:p>
    <w:p w14:paraId="19F33B8D" w14:textId="64A3F21A" w:rsidR="0012175E" w:rsidRPr="0012175E" w:rsidRDefault="0012175E" w:rsidP="00130C59">
      <w:pPr>
        <w:pStyle w:val="ListParagraph"/>
        <w:ind w:left="394"/>
      </w:pPr>
      <w:r>
        <w:t xml:space="preserve"> </w:t>
      </w:r>
    </w:p>
    <w:p w14:paraId="24229039" w14:textId="1642C103" w:rsidR="00130C59" w:rsidRPr="00DF7E17" w:rsidRDefault="004B3C20" w:rsidP="00130C59">
      <w:pPr>
        <w:pStyle w:val="ListParagraph"/>
        <w:ind w:left="394"/>
      </w:pPr>
      <w:r>
        <w:rPr>
          <w:b/>
          <w:bCs/>
        </w:rPr>
        <w:t>Let us pray</w:t>
      </w:r>
      <w:r w:rsidR="00EE36D6">
        <w:rPr>
          <w:b/>
          <w:bCs/>
        </w:rPr>
        <w:t xml:space="preserve"> in response</w:t>
      </w:r>
      <w:r>
        <w:rPr>
          <w:b/>
          <w:bCs/>
        </w:rPr>
        <w:t xml:space="preserve">: </w:t>
      </w:r>
      <w:r w:rsidR="008B1D32">
        <w:rPr>
          <w:b/>
          <w:bCs/>
        </w:rPr>
        <w:t xml:space="preserve">Lord, </w:t>
      </w:r>
      <w:r w:rsidR="00130C59">
        <w:t xml:space="preserve">tenderize </w:t>
      </w:r>
      <w:r w:rsidR="008B1D32">
        <w:t xml:space="preserve">our hearts and spirits </w:t>
      </w:r>
      <w:r w:rsidR="00130C59">
        <w:t xml:space="preserve">to receive </w:t>
      </w:r>
      <w:r w:rsidR="008B1D32">
        <w:t xml:space="preserve">your </w:t>
      </w:r>
      <w:r w:rsidR="00130C59">
        <w:t xml:space="preserve">new </w:t>
      </w:r>
      <w:r w:rsidR="00F53796">
        <w:t>inspiration</w:t>
      </w:r>
      <w:r w:rsidR="00130C59">
        <w:t>s.</w:t>
      </w:r>
    </w:p>
    <w:p w14:paraId="35AD653C" w14:textId="45003BC1" w:rsidR="00DF7E17" w:rsidRDefault="00DF7E17" w:rsidP="00B21AC7">
      <w:pPr>
        <w:pStyle w:val="ListParagraph"/>
        <w:ind w:left="394"/>
        <w:rPr>
          <w:b/>
          <w:bCs/>
        </w:rPr>
      </w:pPr>
    </w:p>
    <w:p w14:paraId="3404AE54" w14:textId="3501255E" w:rsidR="004471D8" w:rsidRPr="007C0058" w:rsidRDefault="0028003E" w:rsidP="0028003E">
      <w:pPr>
        <w:pStyle w:val="ListParagraph"/>
        <w:numPr>
          <w:ilvl w:val="0"/>
          <w:numId w:val="5"/>
        </w:numPr>
        <w:rPr>
          <w:b/>
          <w:bCs/>
        </w:rPr>
      </w:pPr>
      <w:r w:rsidRPr="007C0058">
        <w:rPr>
          <w:b/>
          <w:bCs/>
          <w:noProof/>
        </w:rPr>
        <w:drawing>
          <wp:anchor distT="0" distB="0" distL="114300" distR="114300" simplePos="0" relativeHeight="251660288" behindDoc="0" locked="0" layoutInCell="1" allowOverlap="1" wp14:anchorId="21A80301" wp14:editId="355E1B1A">
            <wp:simplePos x="0" y="0"/>
            <wp:positionH relativeFrom="margin">
              <wp:align>left</wp:align>
            </wp:positionH>
            <wp:positionV relativeFrom="paragraph">
              <wp:posOffset>59690</wp:posOffset>
            </wp:positionV>
            <wp:extent cx="2705100" cy="2876550"/>
            <wp:effectExtent l="57150" t="57150" r="57150"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05100" cy="2876550"/>
                    </a:xfrm>
                    <a:prstGeom prst="ellipse">
                      <a:avLst/>
                    </a:prstGeom>
                    <a:ln w="28575" cap="rnd">
                      <a:solidFill>
                        <a:srgbClr val="333333"/>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7E17" w:rsidRPr="007C0058">
        <w:rPr>
          <w:b/>
          <w:bCs/>
        </w:rPr>
        <w:t>That our discernment of what is ours to do focuses on the centrality of evangelization. And, that this source deepens our enthusiasm for what is essential to live the Gospel.</w:t>
      </w:r>
    </w:p>
    <w:p w14:paraId="19D2003F" w14:textId="77777777" w:rsidR="00DF7E17" w:rsidRPr="007C0058" w:rsidRDefault="00DF7E17" w:rsidP="00DF7E17">
      <w:pPr>
        <w:pStyle w:val="ListParagraph"/>
        <w:rPr>
          <w:b/>
          <w:bCs/>
        </w:rPr>
      </w:pPr>
    </w:p>
    <w:p w14:paraId="41C41121" w14:textId="0EA8F64E" w:rsidR="00DF7E17" w:rsidRPr="007C0058" w:rsidRDefault="00DF7E17" w:rsidP="0028003E">
      <w:pPr>
        <w:pStyle w:val="ListParagraph"/>
        <w:numPr>
          <w:ilvl w:val="0"/>
          <w:numId w:val="5"/>
        </w:numPr>
        <w:rPr>
          <w:b/>
          <w:bCs/>
        </w:rPr>
      </w:pPr>
      <w:r w:rsidRPr="007C0058">
        <w:rPr>
          <w:b/>
          <w:bCs/>
        </w:rPr>
        <w:t>That we</w:t>
      </w:r>
      <w:r w:rsidR="00130C59" w:rsidRPr="007C0058">
        <w:rPr>
          <w:b/>
          <w:bCs/>
        </w:rPr>
        <w:t xml:space="preserve"> embody</w:t>
      </w:r>
      <w:r w:rsidRPr="007C0058">
        <w:rPr>
          <w:b/>
          <w:bCs/>
        </w:rPr>
        <w:t xml:space="preserve"> the spirituality of the Trinity, unity in love. And that divine life is the source of our dynamic communion, with God, self and all of creation.</w:t>
      </w:r>
    </w:p>
    <w:p w14:paraId="4C1EDC2D" w14:textId="77777777" w:rsidR="00DF7E17" w:rsidRPr="007C0058" w:rsidRDefault="00DF7E17" w:rsidP="00DF7E17">
      <w:pPr>
        <w:pStyle w:val="ListParagraph"/>
        <w:rPr>
          <w:b/>
          <w:bCs/>
        </w:rPr>
      </w:pPr>
    </w:p>
    <w:p w14:paraId="3F376B5E" w14:textId="42A28675" w:rsidR="00DF7E17" w:rsidRPr="007C0058" w:rsidRDefault="00DF7E17" w:rsidP="0028003E">
      <w:pPr>
        <w:pStyle w:val="ListParagraph"/>
        <w:numPr>
          <w:ilvl w:val="0"/>
          <w:numId w:val="5"/>
        </w:numPr>
        <w:rPr>
          <w:b/>
          <w:bCs/>
        </w:rPr>
      </w:pPr>
      <w:r w:rsidRPr="007C0058">
        <w:rPr>
          <w:b/>
          <w:bCs/>
        </w:rPr>
        <w:t xml:space="preserve">That we take to heart, the call for conversion. And, through </w:t>
      </w:r>
      <w:r w:rsidR="00F53796" w:rsidRPr="007C0058">
        <w:rPr>
          <w:b/>
          <w:bCs/>
        </w:rPr>
        <w:t xml:space="preserve">our </w:t>
      </w:r>
      <w:r w:rsidRPr="007C0058">
        <w:rPr>
          <w:b/>
          <w:bCs/>
        </w:rPr>
        <w:t>affective and effective actions bring about reconciliation in communities.</w:t>
      </w:r>
    </w:p>
    <w:p w14:paraId="158B09F0" w14:textId="77777777" w:rsidR="00DF7E17" w:rsidRPr="007C0058" w:rsidRDefault="00DF7E17" w:rsidP="00DF7E17">
      <w:pPr>
        <w:pStyle w:val="ListParagraph"/>
        <w:rPr>
          <w:b/>
          <w:bCs/>
        </w:rPr>
      </w:pPr>
    </w:p>
    <w:p w14:paraId="02DA8E20" w14:textId="4985E728" w:rsidR="00DF7E17" w:rsidRPr="00130C59" w:rsidRDefault="00DF7E17" w:rsidP="0028003E">
      <w:pPr>
        <w:pStyle w:val="ListParagraph"/>
        <w:numPr>
          <w:ilvl w:val="0"/>
          <w:numId w:val="5"/>
        </w:numPr>
        <w:rPr>
          <w:b/>
          <w:bCs/>
        </w:rPr>
      </w:pPr>
      <w:r>
        <w:t>That embracing Mary as our Mother and model of discipleship, we contemplate the meaning of our lives. And, that we consider new ways to be Church</w:t>
      </w:r>
      <w:r w:rsidR="00315DA8">
        <w:t xml:space="preserve"> by building bridges and honoring the martyrs</w:t>
      </w:r>
      <w:r w:rsidR="00130C59">
        <w:t xml:space="preserve"> who surrendered their lives for the excluded.</w:t>
      </w:r>
    </w:p>
    <w:p w14:paraId="29B41C13" w14:textId="77777777" w:rsidR="00130C59" w:rsidRPr="00130C59" w:rsidRDefault="00130C59" w:rsidP="00130C59">
      <w:pPr>
        <w:pStyle w:val="ListParagraph"/>
        <w:rPr>
          <w:b/>
          <w:bCs/>
        </w:rPr>
      </w:pPr>
    </w:p>
    <w:p w14:paraId="3101B61C" w14:textId="078CB259" w:rsidR="00130C59" w:rsidRPr="00130C59" w:rsidRDefault="00130C59" w:rsidP="0028003E">
      <w:pPr>
        <w:pStyle w:val="ListParagraph"/>
        <w:numPr>
          <w:ilvl w:val="0"/>
          <w:numId w:val="5"/>
        </w:numPr>
        <w:rPr>
          <w:b/>
          <w:bCs/>
        </w:rPr>
      </w:pPr>
      <w:r>
        <w:t>That we consider the ethics of encounter with the cities. And that we develop pastoral plans where the Gospel is always present and the source of our relations.</w:t>
      </w:r>
    </w:p>
    <w:p w14:paraId="6E769FBC" w14:textId="77777777" w:rsidR="00130C59" w:rsidRPr="00130C59" w:rsidRDefault="00130C59" w:rsidP="00130C59">
      <w:pPr>
        <w:pStyle w:val="ListParagraph"/>
        <w:rPr>
          <w:b/>
          <w:bCs/>
        </w:rPr>
      </w:pPr>
    </w:p>
    <w:p w14:paraId="3BA2C544" w14:textId="79A9251D" w:rsidR="00130C59" w:rsidRPr="00DF7E17" w:rsidRDefault="00130C59" w:rsidP="0028003E">
      <w:pPr>
        <w:pStyle w:val="ListParagraph"/>
        <w:numPr>
          <w:ilvl w:val="0"/>
          <w:numId w:val="5"/>
        </w:numPr>
        <w:rPr>
          <w:b/>
          <w:bCs/>
        </w:rPr>
      </w:pPr>
      <w:r>
        <w:t xml:space="preserve">That we embrace a comprehensive integral ecology situating ourselves on the side of those who defend life. And, as we listen to the cry of the Earth and the cry of the </w:t>
      </w:r>
      <w:proofErr w:type="gramStart"/>
      <w:r>
        <w:t>poor</w:t>
      </w:r>
      <w:proofErr w:type="gramEnd"/>
      <w:r w:rsidR="00F53796">
        <w:t xml:space="preserve"> we are able to develop an integral ecology</w:t>
      </w:r>
      <w:r>
        <w:t>.</w:t>
      </w:r>
      <w:r w:rsidR="00B14F26">
        <w:t xml:space="preserve"> (Petitions reflective of the CLAR presentation on their symbol of the Wedding Feast of Cana for their planning)</w:t>
      </w:r>
    </w:p>
    <w:p w14:paraId="13416DD7" w14:textId="77777777" w:rsidR="00DF7E17" w:rsidRPr="00DF7E17" w:rsidRDefault="00DF7E17" w:rsidP="00DF7E17">
      <w:pPr>
        <w:pStyle w:val="ListParagraph"/>
        <w:rPr>
          <w:b/>
          <w:bCs/>
        </w:rPr>
      </w:pPr>
    </w:p>
    <w:p w14:paraId="53105C6A" w14:textId="109463B2" w:rsidR="00B14F26" w:rsidRDefault="00130C59" w:rsidP="00B14F26">
      <w:pPr>
        <w:rPr>
          <w:color w:val="231F20"/>
          <w:spacing w:val="-2"/>
        </w:rPr>
      </w:pPr>
      <w:r>
        <w:rPr>
          <w:b/>
          <w:bCs/>
        </w:rPr>
        <w:t>Prayer:</w:t>
      </w:r>
      <w:r w:rsidRPr="00130C59">
        <w:t xml:space="preserve"> </w:t>
      </w:r>
      <w:r w:rsidR="00F53796">
        <w:t xml:space="preserve">Lord, help us </w:t>
      </w:r>
      <w:r w:rsidR="007C0058">
        <w:t xml:space="preserve">to </w:t>
      </w:r>
      <w:r w:rsidR="00B14F26">
        <w:t>identify with</w:t>
      </w:r>
      <w:r w:rsidR="00F53796">
        <w:t xml:space="preserve"> and remember</w:t>
      </w:r>
      <w:r w:rsidR="00B14F26">
        <w:t xml:space="preserve"> the values deeply rooted in indigenous peoples in the way that  Pope Francis raises up their contributions “</w:t>
      </w:r>
      <w:r w:rsidR="00B14F26" w:rsidRPr="00B21AC7">
        <w:rPr>
          <w:color w:val="231F20"/>
        </w:rPr>
        <w:t>to instill</w:t>
      </w:r>
      <w:r w:rsidR="00B14F26" w:rsidRPr="00B21AC7">
        <w:rPr>
          <w:color w:val="231F20"/>
          <w:spacing w:val="-1"/>
        </w:rPr>
        <w:t xml:space="preserve"> </w:t>
      </w:r>
      <w:r w:rsidR="00B14F26" w:rsidRPr="00B21AC7">
        <w:rPr>
          <w:color w:val="231F20"/>
        </w:rPr>
        <w:t>a greater</w:t>
      </w:r>
      <w:r w:rsidR="00B14F26" w:rsidRPr="00B21AC7">
        <w:rPr>
          <w:color w:val="231F20"/>
          <w:spacing w:val="1"/>
        </w:rPr>
        <w:t xml:space="preserve"> </w:t>
      </w:r>
      <w:r w:rsidR="00B14F26" w:rsidRPr="00B21AC7">
        <w:rPr>
          <w:color w:val="231F20"/>
        </w:rPr>
        <w:t>sense</w:t>
      </w:r>
      <w:r w:rsidR="00B14F26" w:rsidRPr="00B21AC7">
        <w:rPr>
          <w:color w:val="231F20"/>
          <w:spacing w:val="-2"/>
        </w:rPr>
        <w:t xml:space="preserve"> </w:t>
      </w:r>
      <w:r w:rsidR="00B14F26" w:rsidRPr="00B21AC7">
        <w:rPr>
          <w:color w:val="231F20"/>
          <w:spacing w:val="-1"/>
        </w:rPr>
        <w:t>of</w:t>
      </w:r>
      <w:r w:rsidR="00B14F26" w:rsidRPr="00B21AC7">
        <w:rPr>
          <w:color w:val="231F20"/>
          <w:spacing w:val="32"/>
        </w:rPr>
        <w:t xml:space="preserve"> </w:t>
      </w:r>
      <w:r w:rsidR="00B14F26" w:rsidRPr="00B21AC7">
        <w:rPr>
          <w:color w:val="231F20"/>
          <w:spacing w:val="-1"/>
        </w:rPr>
        <w:t>respon</w:t>
      </w:r>
      <w:r w:rsidR="00B14F26" w:rsidRPr="00B21AC7">
        <w:rPr>
          <w:color w:val="231F20"/>
          <w:spacing w:val="-3"/>
        </w:rPr>
        <w:t>sibility,</w:t>
      </w:r>
      <w:r w:rsidR="00B14F26" w:rsidRPr="00B21AC7">
        <w:rPr>
          <w:color w:val="231F20"/>
          <w:spacing w:val="45"/>
        </w:rPr>
        <w:t xml:space="preserve"> </w:t>
      </w:r>
      <w:r w:rsidR="00B14F26" w:rsidRPr="00B21AC7">
        <w:rPr>
          <w:color w:val="231F20"/>
        </w:rPr>
        <w:t>a</w:t>
      </w:r>
      <w:r w:rsidR="00B14F26" w:rsidRPr="00B21AC7">
        <w:rPr>
          <w:color w:val="231F20"/>
          <w:spacing w:val="46"/>
        </w:rPr>
        <w:t xml:space="preserve"> </w:t>
      </w:r>
      <w:r w:rsidR="00B14F26" w:rsidRPr="00B21AC7">
        <w:rPr>
          <w:color w:val="231F20"/>
        </w:rPr>
        <w:t>strong</w:t>
      </w:r>
      <w:r w:rsidR="00B14F26" w:rsidRPr="00B21AC7">
        <w:rPr>
          <w:color w:val="231F20"/>
          <w:spacing w:val="45"/>
        </w:rPr>
        <w:t xml:space="preserve"> </w:t>
      </w:r>
      <w:r w:rsidR="00B14F26" w:rsidRPr="00B21AC7">
        <w:rPr>
          <w:color w:val="231F20"/>
        </w:rPr>
        <w:t>sense</w:t>
      </w:r>
      <w:r w:rsidR="00B14F26" w:rsidRPr="00B21AC7">
        <w:rPr>
          <w:color w:val="231F20"/>
          <w:spacing w:val="44"/>
        </w:rPr>
        <w:t xml:space="preserve"> </w:t>
      </w:r>
      <w:r w:rsidR="00B14F26" w:rsidRPr="00B21AC7">
        <w:rPr>
          <w:color w:val="231F20"/>
          <w:spacing w:val="-1"/>
        </w:rPr>
        <w:t>of</w:t>
      </w:r>
      <w:r w:rsidR="00B14F26" w:rsidRPr="00B21AC7">
        <w:rPr>
          <w:color w:val="231F20"/>
          <w:spacing w:val="14"/>
        </w:rPr>
        <w:t xml:space="preserve"> </w:t>
      </w:r>
      <w:r w:rsidR="00B14F26" w:rsidRPr="00B21AC7">
        <w:rPr>
          <w:color w:val="231F20"/>
          <w:spacing w:val="-3"/>
        </w:rPr>
        <w:t>community,</w:t>
      </w:r>
      <w:r w:rsidR="00B14F26" w:rsidRPr="00B21AC7">
        <w:rPr>
          <w:color w:val="231F20"/>
          <w:spacing w:val="46"/>
        </w:rPr>
        <w:t xml:space="preserve"> </w:t>
      </w:r>
      <w:r w:rsidR="00B14F26" w:rsidRPr="00B21AC7">
        <w:rPr>
          <w:color w:val="231F20"/>
        </w:rPr>
        <w:t>a</w:t>
      </w:r>
      <w:r w:rsidR="00B14F26" w:rsidRPr="00B21AC7">
        <w:rPr>
          <w:color w:val="231F20"/>
          <w:spacing w:val="46"/>
        </w:rPr>
        <w:t xml:space="preserve"> </w:t>
      </w:r>
      <w:r w:rsidR="00B14F26" w:rsidRPr="00B21AC7">
        <w:rPr>
          <w:color w:val="231F20"/>
          <w:spacing w:val="-1"/>
        </w:rPr>
        <w:t>readiness</w:t>
      </w:r>
      <w:r w:rsidR="00B14F26" w:rsidRPr="00B21AC7">
        <w:rPr>
          <w:color w:val="231F20"/>
          <w:spacing w:val="-2"/>
        </w:rPr>
        <w:t xml:space="preserve"> </w:t>
      </w:r>
      <w:r w:rsidR="00B14F26" w:rsidRPr="00B21AC7">
        <w:rPr>
          <w:color w:val="231F20"/>
        </w:rPr>
        <w:t>to</w:t>
      </w:r>
      <w:r w:rsidR="00B14F26" w:rsidRPr="00B21AC7">
        <w:rPr>
          <w:color w:val="231F20"/>
          <w:spacing w:val="-3"/>
        </w:rPr>
        <w:t xml:space="preserve"> </w:t>
      </w:r>
      <w:r w:rsidR="00B14F26" w:rsidRPr="00B21AC7">
        <w:rPr>
          <w:color w:val="231F20"/>
          <w:spacing w:val="-1"/>
        </w:rPr>
        <w:t>protect</w:t>
      </w:r>
      <w:r w:rsidR="00B14F26" w:rsidRPr="00B21AC7">
        <w:rPr>
          <w:color w:val="231F20"/>
          <w:spacing w:val="-2"/>
        </w:rPr>
        <w:t xml:space="preserve"> others,</w:t>
      </w:r>
      <w:r w:rsidR="00B14F26" w:rsidRPr="00B21AC7">
        <w:rPr>
          <w:color w:val="231F20"/>
          <w:spacing w:val="-3"/>
        </w:rPr>
        <w:t xml:space="preserve"> </w:t>
      </w:r>
      <w:r w:rsidR="00B14F26" w:rsidRPr="00B21AC7">
        <w:rPr>
          <w:color w:val="231F20"/>
        </w:rPr>
        <w:t>a</w:t>
      </w:r>
      <w:r w:rsidR="00B14F26" w:rsidRPr="00B21AC7">
        <w:rPr>
          <w:color w:val="231F20"/>
          <w:spacing w:val="-3"/>
        </w:rPr>
        <w:t xml:space="preserve"> </w:t>
      </w:r>
      <w:r w:rsidR="00B14F26" w:rsidRPr="00B21AC7">
        <w:rPr>
          <w:color w:val="231F20"/>
        </w:rPr>
        <w:t>spirit</w:t>
      </w:r>
      <w:r w:rsidR="00B14F26" w:rsidRPr="00B21AC7">
        <w:rPr>
          <w:color w:val="231F20"/>
          <w:spacing w:val="-2"/>
        </w:rPr>
        <w:t xml:space="preserve"> </w:t>
      </w:r>
      <w:r w:rsidR="00B14F26" w:rsidRPr="00B21AC7">
        <w:rPr>
          <w:color w:val="231F20"/>
          <w:spacing w:val="-1"/>
        </w:rPr>
        <w:t>of</w:t>
      </w:r>
      <w:r w:rsidR="00B14F26" w:rsidRPr="00B21AC7">
        <w:rPr>
          <w:color w:val="231F20"/>
          <w:spacing w:val="29"/>
        </w:rPr>
        <w:t xml:space="preserve"> </w:t>
      </w:r>
      <w:r w:rsidR="00B14F26" w:rsidRPr="00B21AC7">
        <w:rPr>
          <w:color w:val="231F20"/>
          <w:spacing w:val="-1"/>
        </w:rPr>
        <w:t>creativity</w:t>
      </w:r>
      <w:r w:rsidR="00B14F26" w:rsidRPr="00B21AC7">
        <w:rPr>
          <w:color w:val="231F20"/>
          <w:spacing w:val="-3"/>
        </w:rPr>
        <w:t xml:space="preserve"> </w:t>
      </w:r>
      <w:r w:rsidR="00B14F26" w:rsidRPr="00B21AC7">
        <w:rPr>
          <w:color w:val="231F20"/>
          <w:spacing w:val="-1"/>
        </w:rPr>
        <w:t>and</w:t>
      </w:r>
      <w:r w:rsidR="00B14F26" w:rsidRPr="00B21AC7">
        <w:rPr>
          <w:color w:val="231F20"/>
          <w:spacing w:val="-2"/>
        </w:rPr>
        <w:t xml:space="preserve"> </w:t>
      </w:r>
      <w:r w:rsidR="00B14F26" w:rsidRPr="00B21AC7">
        <w:rPr>
          <w:color w:val="231F20"/>
        </w:rPr>
        <w:t>a</w:t>
      </w:r>
      <w:r w:rsidR="00B14F26" w:rsidRPr="00B21AC7">
        <w:rPr>
          <w:color w:val="231F20"/>
          <w:spacing w:val="21"/>
        </w:rPr>
        <w:t xml:space="preserve"> </w:t>
      </w:r>
      <w:r w:rsidR="00B14F26" w:rsidRPr="00B21AC7">
        <w:rPr>
          <w:color w:val="231F20"/>
        </w:rPr>
        <w:t>deep</w:t>
      </w:r>
      <w:r w:rsidR="00B14F26" w:rsidRPr="00B21AC7">
        <w:rPr>
          <w:color w:val="231F20"/>
          <w:spacing w:val="8"/>
        </w:rPr>
        <w:t xml:space="preserve"> </w:t>
      </w:r>
      <w:r w:rsidR="00B14F26" w:rsidRPr="00B21AC7">
        <w:rPr>
          <w:color w:val="231F20"/>
          <w:spacing w:val="-3"/>
        </w:rPr>
        <w:t>love</w:t>
      </w:r>
      <w:r w:rsidR="00B14F26" w:rsidRPr="00B21AC7">
        <w:rPr>
          <w:color w:val="231F20"/>
          <w:spacing w:val="8"/>
        </w:rPr>
        <w:t xml:space="preserve"> </w:t>
      </w:r>
      <w:r w:rsidR="00B14F26" w:rsidRPr="00B21AC7">
        <w:rPr>
          <w:color w:val="231F20"/>
        </w:rPr>
        <w:t>for</w:t>
      </w:r>
      <w:r w:rsidR="00B14F26" w:rsidRPr="00B21AC7">
        <w:rPr>
          <w:color w:val="231F20"/>
          <w:spacing w:val="8"/>
        </w:rPr>
        <w:t xml:space="preserve"> </w:t>
      </w:r>
      <w:r w:rsidR="00B14F26" w:rsidRPr="00B21AC7">
        <w:rPr>
          <w:color w:val="231F20"/>
        </w:rPr>
        <w:t>the</w:t>
      </w:r>
      <w:r w:rsidR="00B14F26" w:rsidRPr="00B21AC7">
        <w:rPr>
          <w:color w:val="231F20"/>
          <w:spacing w:val="8"/>
        </w:rPr>
        <w:t xml:space="preserve"> </w:t>
      </w:r>
      <w:r w:rsidR="00B14F26" w:rsidRPr="00B21AC7">
        <w:rPr>
          <w:color w:val="231F20"/>
        </w:rPr>
        <w:t>land.</w:t>
      </w:r>
      <w:r w:rsidR="00F53796">
        <w:rPr>
          <w:color w:val="231F20"/>
        </w:rPr>
        <w:t>”</w:t>
      </w:r>
      <w:r w:rsidR="00B14F26" w:rsidRPr="00B21AC7">
        <w:rPr>
          <w:color w:val="231F20"/>
          <w:spacing w:val="8"/>
        </w:rPr>
        <w:t xml:space="preserve"> </w:t>
      </w:r>
      <w:r w:rsidR="00F53796" w:rsidRPr="00F53796">
        <w:rPr>
          <w:i/>
          <w:iCs/>
          <w:color w:val="231F20"/>
          <w:spacing w:val="8"/>
        </w:rPr>
        <w:t>And that</w:t>
      </w:r>
      <w:r w:rsidR="00F53796">
        <w:rPr>
          <w:color w:val="231F20"/>
          <w:spacing w:val="8"/>
        </w:rPr>
        <w:t xml:space="preserve"> </w:t>
      </w:r>
      <w:r w:rsidR="00F53796">
        <w:rPr>
          <w:color w:val="231F20"/>
        </w:rPr>
        <w:t>t</w:t>
      </w:r>
      <w:r w:rsidR="00B14F26" w:rsidRPr="00B21AC7">
        <w:rPr>
          <w:color w:val="231F20"/>
        </w:rPr>
        <w:t>hey</w:t>
      </w:r>
      <w:r w:rsidR="00B14F26" w:rsidRPr="00B21AC7">
        <w:rPr>
          <w:color w:val="231F20"/>
          <w:spacing w:val="10"/>
        </w:rPr>
        <w:t xml:space="preserve"> </w:t>
      </w:r>
      <w:r w:rsidR="00F53796" w:rsidRPr="00F53796">
        <w:rPr>
          <w:i/>
          <w:iCs/>
          <w:color w:val="231F20"/>
          <w:spacing w:val="10"/>
        </w:rPr>
        <w:t>and we</w:t>
      </w:r>
      <w:r w:rsidR="00F53796">
        <w:rPr>
          <w:color w:val="231F20"/>
          <w:spacing w:val="10"/>
        </w:rPr>
        <w:t xml:space="preserve"> </w:t>
      </w:r>
      <w:r w:rsidR="00B14F26" w:rsidRPr="00B21AC7">
        <w:rPr>
          <w:color w:val="231F20"/>
          <w:spacing w:val="-1"/>
        </w:rPr>
        <w:t>are</w:t>
      </w:r>
      <w:r w:rsidR="00B14F26" w:rsidRPr="00B21AC7">
        <w:rPr>
          <w:color w:val="231F20"/>
          <w:spacing w:val="9"/>
        </w:rPr>
        <w:t xml:space="preserve"> </w:t>
      </w:r>
      <w:r w:rsidR="00B14F26" w:rsidRPr="00B21AC7">
        <w:rPr>
          <w:color w:val="231F20"/>
          <w:spacing w:val="-1"/>
        </w:rPr>
        <w:t>also</w:t>
      </w:r>
      <w:r w:rsidR="00B14F26" w:rsidRPr="00B21AC7">
        <w:rPr>
          <w:color w:val="231F20"/>
          <w:spacing w:val="9"/>
        </w:rPr>
        <w:t xml:space="preserve"> </w:t>
      </w:r>
      <w:r w:rsidR="00B14F26" w:rsidRPr="00B21AC7">
        <w:rPr>
          <w:color w:val="231F20"/>
        </w:rPr>
        <w:t>concerned</w:t>
      </w:r>
      <w:r w:rsidR="00B14F26" w:rsidRPr="00B21AC7">
        <w:rPr>
          <w:color w:val="231F20"/>
          <w:spacing w:val="20"/>
          <w:w w:val="99"/>
        </w:rPr>
        <w:t xml:space="preserve"> </w:t>
      </w:r>
      <w:r w:rsidR="00B14F26" w:rsidRPr="00B21AC7">
        <w:rPr>
          <w:color w:val="231F20"/>
          <w:spacing w:val="-1"/>
        </w:rPr>
        <w:t>about</w:t>
      </w:r>
      <w:r w:rsidR="00B14F26" w:rsidRPr="00B21AC7">
        <w:rPr>
          <w:color w:val="231F20"/>
          <w:spacing w:val="-15"/>
        </w:rPr>
        <w:t xml:space="preserve"> </w:t>
      </w:r>
      <w:r w:rsidR="00B14F26" w:rsidRPr="00B21AC7">
        <w:rPr>
          <w:color w:val="231F20"/>
          <w:spacing w:val="-1"/>
        </w:rPr>
        <w:t>what</w:t>
      </w:r>
      <w:r w:rsidR="00B14F26" w:rsidRPr="00B21AC7">
        <w:rPr>
          <w:color w:val="231F20"/>
          <w:spacing w:val="-15"/>
        </w:rPr>
        <w:t xml:space="preserve"> </w:t>
      </w:r>
      <w:r w:rsidR="00F53796" w:rsidRPr="00F53796">
        <w:rPr>
          <w:i/>
          <w:iCs/>
          <w:color w:val="231F20"/>
          <w:spacing w:val="-15"/>
        </w:rPr>
        <w:t xml:space="preserve">we </w:t>
      </w:r>
      <w:r w:rsidR="00B14F26" w:rsidRPr="00B21AC7">
        <w:rPr>
          <w:color w:val="231F20"/>
        </w:rPr>
        <w:t>will</w:t>
      </w:r>
      <w:r w:rsidR="00B14F26" w:rsidRPr="00B21AC7">
        <w:rPr>
          <w:color w:val="231F20"/>
          <w:spacing w:val="-16"/>
        </w:rPr>
        <w:t xml:space="preserve"> </w:t>
      </w:r>
      <w:r w:rsidR="00B14F26" w:rsidRPr="00B21AC7">
        <w:rPr>
          <w:color w:val="231F20"/>
          <w:spacing w:val="-1"/>
        </w:rPr>
        <w:t>eventually</w:t>
      </w:r>
      <w:r w:rsidR="00B14F26" w:rsidRPr="00B21AC7">
        <w:rPr>
          <w:color w:val="231F20"/>
          <w:spacing w:val="-16"/>
        </w:rPr>
        <w:t xml:space="preserve"> </w:t>
      </w:r>
      <w:r w:rsidR="00B14F26" w:rsidRPr="00B21AC7">
        <w:rPr>
          <w:color w:val="231F20"/>
          <w:spacing w:val="-2"/>
        </w:rPr>
        <w:t>leave</w:t>
      </w:r>
      <w:r w:rsidR="00B14F26" w:rsidRPr="00B21AC7">
        <w:rPr>
          <w:color w:val="231F20"/>
          <w:spacing w:val="-15"/>
        </w:rPr>
        <w:t xml:space="preserve"> </w:t>
      </w:r>
      <w:r w:rsidR="00B14F26" w:rsidRPr="00B21AC7">
        <w:rPr>
          <w:color w:val="231F20"/>
        </w:rPr>
        <w:t>to</w:t>
      </w:r>
      <w:r w:rsidR="00B14F26" w:rsidRPr="00B21AC7">
        <w:rPr>
          <w:color w:val="231F20"/>
          <w:spacing w:val="-16"/>
        </w:rPr>
        <w:t xml:space="preserve"> </w:t>
      </w:r>
      <w:r w:rsidR="00F53796" w:rsidRPr="00F53796">
        <w:rPr>
          <w:i/>
          <w:iCs/>
          <w:color w:val="231F20"/>
          <w:spacing w:val="-16"/>
        </w:rPr>
        <w:t>ou</w:t>
      </w:r>
      <w:r w:rsidR="00B14F26" w:rsidRPr="00F53796">
        <w:rPr>
          <w:i/>
          <w:iCs/>
          <w:color w:val="231F20"/>
        </w:rPr>
        <w:t>r</w:t>
      </w:r>
      <w:r w:rsidR="00B14F26" w:rsidRPr="00B21AC7">
        <w:rPr>
          <w:color w:val="231F20"/>
          <w:spacing w:val="-17"/>
        </w:rPr>
        <w:t xml:space="preserve"> </w:t>
      </w:r>
      <w:r w:rsidR="00B14F26" w:rsidRPr="00B21AC7">
        <w:rPr>
          <w:color w:val="231F20"/>
          <w:spacing w:val="-2"/>
        </w:rPr>
        <w:t>chil</w:t>
      </w:r>
      <w:r w:rsidR="00B14F26" w:rsidRPr="00B21AC7">
        <w:rPr>
          <w:color w:val="231F20"/>
        </w:rPr>
        <w:t>dren</w:t>
      </w:r>
      <w:r w:rsidR="00B14F26" w:rsidRPr="00B21AC7">
        <w:rPr>
          <w:color w:val="231F20"/>
          <w:spacing w:val="2"/>
        </w:rPr>
        <w:t xml:space="preserve"> </w:t>
      </w:r>
      <w:r w:rsidR="00B14F26" w:rsidRPr="00B21AC7">
        <w:rPr>
          <w:color w:val="231F20"/>
          <w:spacing w:val="-1"/>
        </w:rPr>
        <w:t>and</w:t>
      </w:r>
      <w:r w:rsidR="00B14F26" w:rsidRPr="00B21AC7">
        <w:rPr>
          <w:color w:val="231F20"/>
          <w:spacing w:val="3"/>
        </w:rPr>
        <w:t xml:space="preserve"> </w:t>
      </w:r>
      <w:r w:rsidR="00B14F26" w:rsidRPr="00B21AC7">
        <w:rPr>
          <w:color w:val="231F20"/>
          <w:spacing w:val="-1"/>
        </w:rPr>
        <w:t>grandchildren.</w:t>
      </w:r>
      <w:r w:rsidR="00B14F26">
        <w:rPr>
          <w:color w:val="231F20"/>
          <w:spacing w:val="-1"/>
        </w:rPr>
        <w:t>”</w:t>
      </w:r>
      <w:r w:rsidR="00B14F26" w:rsidRPr="00B21AC7">
        <w:rPr>
          <w:color w:val="231F20"/>
          <w:spacing w:val="-2"/>
        </w:rPr>
        <w:t xml:space="preserve"> </w:t>
      </w:r>
      <w:r w:rsidR="00B14F26">
        <w:rPr>
          <w:color w:val="231F20"/>
          <w:spacing w:val="-2"/>
        </w:rPr>
        <w:t>(</w:t>
      </w:r>
      <w:r w:rsidR="00B14F26" w:rsidRPr="00B21AC7">
        <w:rPr>
          <w:color w:val="231F20"/>
          <w:spacing w:val="-2"/>
        </w:rPr>
        <w:t>LS 179</w:t>
      </w:r>
      <w:r w:rsidR="00B14F26">
        <w:rPr>
          <w:color w:val="231F20"/>
          <w:spacing w:val="-2"/>
        </w:rPr>
        <w:t>)</w:t>
      </w:r>
      <w:r w:rsidR="003463C8">
        <w:rPr>
          <w:color w:val="231F20"/>
          <w:spacing w:val="-2"/>
        </w:rPr>
        <w:t xml:space="preserve"> </w:t>
      </w:r>
    </w:p>
    <w:p w14:paraId="75936B8E" w14:textId="3F96EFCA" w:rsidR="006965CB" w:rsidRDefault="00410332" w:rsidP="003463C8">
      <w:pPr>
        <w:rPr>
          <w:b/>
          <w:bCs/>
        </w:rPr>
      </w:pPr>
      <w:r>
        <w:rPr>
          <w:rFonts w:ascii="Calibri" w:eastAsia="Times New Roman" w:hAnsi="Calibri" w:cs="Calibri"/>
          <w:noProof/>
          <w:color w:val="222222"/>
          <w:lang w:eastAsia="en-GB"/>
        </w:rPr>
        <mc:AlternateContent>
          <mc:Choice Requires="wps">
            <w:drawing>
              <wp:anchor distT="0" distB="0" distL="114300" distR="114300" simplePos="0" relativeHeight="251661312" behindDoc="0" locked="0" layoutInCell="1" allowOverlap="1" wp14:anchorId="0F3B67BD" wp14:editId="051C494D">
                <wp:simplePos x="0" y="0"/>
                <wp:positionH relativeFrom="column">
                  <wp:posOffset>428625</wp:posOffset>
                </wp:positionH>
                <wp:positionV relativeFrom="paragraph">
                  <wp:posOffset>13335</wp:posOffset>
                </wp:positionV>
                <wp:extent cx="5876925" cy="2819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876925" cy="2819400"/>
                        </a:xfrm>
                        <a:prstGeom prst="rect">
                          <a:avLst/>
                        </a:prstGeom>
                        <a:solidFill>
                          <a:schemeClr val="lt1"/>
                        </a:solidFill>
                        <a:ln w="6350">
                          <a:noFill/>
                        </a:ln>
                      </wps:spPr>
                      <wps:txbx>
                        <w:txbxContent>
                          <w:p w14:paraId="04DF2389" w14:textId="72BF99A0" w:rsidR="00EE36D6" w:rsidRDefault="00EE36D6" w:rsidP="00EE36D6">
                            <w:pPr>
                              <w:jc w:val="center"/>
                            </w:pPr>
                            <w:r>
                              <w:rPr>
                                <w:noProof/>
                              </w:rPr>
                              <w:drawing>
                                <wp:inline distT="0" distB="0" distL="0" distR="0" wp14:anchorId="6D876962" wp14:editId="7EF2A201">
                                  <wp:extent cx="364109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1090" cy="2314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B67BD" id="_x0000_t202" coordsize="21600,21600" o:spt="202" path="m,l,21600r21600,l21600,xe">
                <v:stroke joinstyle="miter"/>
                <v:path gradientshapeok="t" o:connecttype="rect"/>
              </v:shapetype>
              <v:shape id="Text Box 1" o:spid="_x0000_s1026" type="#_x0000_t202" style="position:absolute;margin-left:33.75pt;margin-top:1.05pt;width:462.7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" fillcolor="white [3201]" stroked="f" strokeweight=".5pt">
                <v:textbox>
                  <w:txbxContent>
                    <w:p w14:paraId="04DF2389" w14:textId="72BF99A0" w:rsidR="00EE36D6" w:rsidRDefault="00EE36D6" w:rsidP="00EE36D6">
                      <w:pPr>
                        <w:jc w:val="center"/>
                      </w:pPr>
                      <w:r>
                        <w:rPr>
                          <w:noProof/>
                        </w:rPr>
                        <w:drawing>
                          <wp:inline distT="0" distB="0" distL="0" distR="0" wp14:anchorId="6D876962" wp14:editId="7EF2A201">
                            <wp:extent cx="364109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1090" cy="2314575"/>
                                    </a:xfrm>
                                    <a:prstGeom prst="rect">
                                      <a:avLst/>
                                    </a:prstGeom>
                                    <a:noFill/>
                                    <a:ln>
                                      <a:noFill/>
                                    </a:ln>
                                  </pic:spPr>
                                </pic:pic>
                              </a:graphicData>
                            </a:graphic>
                          </wp:inline>
                        </w:drawing>
                      </w:r>
                    </w:p>
                  </w:txbxContent>
                </v:textbox>
              </v:shape>
            </w:pict>
          </mc:Fallback>
        </mc:AlternateContent>
      </w:r>
      <w:r w:rsidR="003463C8">
        <w:rPr>
          <w:b/>
          <w:bCs/>
        </w:rPr>
        <w:t xml:space="preserve">Link for </w:t>
      </w:r>
      <w:r w:rsidR="00F53796">
        <w:rPr>
          <w:b/>
          <w:bCs/>
        </w:rPr>
        <w:t xml:space="preserve">Casa </w:t>
      </w:r>
      <w:proofErr w:type="spellStart"/>
      <w:r w:rsidR="00F53796">
        <w:rPr>
          <w:b/>
          <w:bCs/>
        </w:rPr>
        <w:t>Comun</w:t>
      </w:r>
      <w:proofErr w:type="spellEnd"/>
      <w:r w:rsidR="00CB3E81">
        <w:rPr>
          <w:b/>
          <w:bCs/>
        </w:rPr>
        <w:t xml:space="preserve"> Song </w:t>
      </w:r>
    </w:p>
    <w:p w14:paraId="68F7B219" w14:textId="0E2514AD" w:rsidR="00C625A8" w:rsidRDefault="00C625A8" w:rsidP="00177116">
      <w:pPr>
        <w:pStyle w:val="ListParagraph"/>
        <w:ind w:left="394"/>
        <w:rPr>
          <w:rFonts w:ascii="Calibri" w:eastAsia="Times New Roman" w:hAnsi="Calibri" w:cs="Calibri"/>
          <w:color w:val="222222"/>
          <w:lang w:eastAsia="en-GB"/>
        </w:rPr>
      </w:pPr>
    </w:p>
    <w:p w14:paraId="2B1EC332" w14:textId="108EA560" w:rsidR="00253229" w:rsidRDefault="00253229" w:rsidP="00C625A8">
      <w:pPr>
        <w:spacing w:line="235" w:lineRule="atLeast"/>
        <w:rPr>
          <w:rFonts w:ascii="Calibri" w:eastAsia="Times New Roman" w:hAnsi="Calibri" w:cs="Calibri"/>
          <w:color w:val="222222"/>
          <w:lang w:eastAsia="en-GB"/>
        </w:rPr>
      </w:pPr>
    </w:p>
    <w:p w14:paraId="03AAB608" w14:textId="1EEF5B69" w:rsidR="00253229" w:rsidRDefault="00253229" w:rsidP="00C625A8">
      <w:pPr>
        <w:spacing w:line="235" w:lineRule="atLeast"/>
        <w:rPr>
          <w:rFonts w:ascii="Calibri" w:eastAsia="Times New Roman" w:hAnsi="Calibri" w:cs="Calibri"/>
          <w:color w:val="222222"/>
          <w:lang w:eastAsia="en-GB"/>
        </w:rPr>
      </w:pPr>
    </w:p>
    <w:p w14:paraId="325E8B6E" w14:textId="77777777" w:rsidR="00B21AC7" w:rsidRDefault="00B21AC7"/>
    <w:sectPr w:rsidR="00B21AC7" w:rsidSect="00177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394" w:hanging="439"/>
      </w:pPr>
      <w:rPr>
        <w:rFonts w:ascii="Garamond" w:hAnsi="Garamond" w:cs="Garamond"/>
        <w:b w:val="0"/>
        <w:bCs w:val="0"/>
        <w:color w:val="231F20"/>
        <w:w w:val="99"/>
        <w:sz w:val="26"/>
        <w:szCs w:val="26"/>
      </w:rPr>
    </w:lvl>
    <w:lvl w:ilvl="1">
      <w:start w:val="1"/>
      <w:numFmt w:val="lowerRoman"/>
      <w:lvlText w:val="%2."/>
      <w:lvlJc w:val="left"/>
      <w:pPr>
        <w:ind w:left="1520" w:hanging="269"/>
      </w:pPr>
      <w:rPr>
        <w:rFonts w:ascii="Garamond" w:hAnsi="Garamond" w:cs="Garamond"/>
        <w:b w:val="0"/>
        <w:bCs w:val="0"/>
        <w:color w:val="231F20"/>
        <w:w w:val="154"/>
        <w:sz w:val="25"/>
        <w:szCs w:val="25"/>
      </w:rPr>
    </w:lvl>
    <w:lvl w:ilvl="2">
      <w:numFmt w:val="bullet"/>
      <w:lvlText w:val="•"/>
      <w:lvlJc w:val="left"/>
      <w:pPr>
        <w:ind w:left="1056" w:hanging="269"/>
      </w:pPr>
    </w:lvl>
    <w:lvl w:ilvl="3">
      <w:numFmt w:val="bullet"/>
      <w:lvlText w:val="•"/>
      <w:lvlJc w:val="left"/>
      <w:pPr>
        <w:ind w:left="1201" w:hanging="269"/>
      </w:pPr>
    </w:lvl>
    <w:lvl w:ilvl="4">
      <w:numFmt w:val="bullet"/>
      <w:lvlText w:val="•"/>
      <w:lvlJc w:val="left"/>
      <w:pPr>
        <w:ind w:left="1202" w:hanging="269"/>
      </w:pPr>
    </w:lvl>
    <w:lvl w:ilvl="5">
      <w:numFmt w:val="bullet"/>
      <w:lvlText w:val="•"/>
      <w:lvlJc w:val="left"/>
      <w:pPr>
        <w:ind w:left="1520" w:hanging="269"/>
      </w:pPr>
    </w:lvl>
    <w:lvl w:ilvl="6">
      <w:numFmt w:val="bullet"/>
      <w:lvlText w:val="•"/>
      <w:lvlJc w:val="left"/>
      <w:pPr>
        <w:ind w:left="1602" w:hanging="269"/>
      </w:pPr>
    </w:lvl>
    <w:lvl w:ilvl="7">
      <w:numFmt w:val="bullet"/>
      <w:lvlText w:val="•"/>
      <w:lvlJc w:val="left"/>
      <w:pPr>
        <w:ind w:left="1727" w:hanging="269"/>
      </w:pPr>
    </w:lvl>
    <w:lvl w:ilvl="8">
      <w:numFmt w:val="bullet"/>
      <w:lvlText w:val="•"/>
      <w:lvlJc w:val="left"/>
      <w:pPr>
        <w:ind w:left="1844" w:hanging="269"/>
      </w:pPr>
    </w:lvl>
  </w:abstractNum>
  <w:abstractNum w:abstractNumId="1" w15:restartNumberingAfterBreak="0">
    <w:nsid w:val="07754275"/>
    <w:multiLevelType w:val="hybridMultilevel"/>
    <w:tmpl w:val="78D035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28122E"/>
    <w:multiLevelType w:val="hybridMultilevel"/>
    <w:tmpl w:val="9BEA0B3C"/>
    <w:lvl w:ilvl="0" w:tplc="3FAE820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3279772F"/>
    <w:multiLevelType w:val="hybridMultilevel"/>
    <w:tmpl w:val="678C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F3185"/>
    <w:multiLevelType w:val="hybridMultilevel"/>
    <w:tmpl w:val="1038B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C7"/>
    <w:rsid w:val="00026E18"/>
    <w:rsid w:val="0012175E"/>
    <w:rsid w:val="00130C59"/>
    <w:rsid w:val="00177116"/>
    <w:rsid w:val="00180F4F"/>
    <w:rsid w:val="00253229"/>
    <w:rsid w:val="002736D8"/>
    <w:rsid w:val="0028003E"/>
    <w:rsid w:val="00296E07"/>
    <w:rsid w:val="00315DA8"/>
    <w:rsid w:val="003463C8"/>
    <w:rsid w:val="00410332"/>
    <w:rsid w:val="004471D8"/>
    <w:rsid w:val="004B3C20"/>
    <w:rsid w:val="00574B56"/>
    <w:rsid w:val="005D0034"/>
    <w:rsid w:val="006965CB"/>
    <w:rsid w:val="006B7825"/>
    <w:rsid w:val="006F61E2"/>
    <w:rsid w:val="007C0058"/>
    <w:rsid w:val="007D6E29"/>
    <w:rsid w:val="008042A2"/>
    <w:rsid w:val="008054A1"/>
    <w:rsid w:val="008B1D32"/>
    <w:rsid w:val="00A60237"/>
    <w:rsid w:val="00B06C7C"/>
    <w:rsid w:val="00B13876"/>
    <w:rsid w:val="00B14F26"/>
    <w:rsid w:val="00B21AC7"/>
    <w:rsid w:val="00C625A8"/>
    <w:rsid w:val="00CB3E81"/>
    <w:rsid w:val="00DC2324"/>
    <w:rsid w:val="00DE44E4"/>
    <w:rsid w:val="00DF7E17"/>
    <w:rsid w:val="00E96223"/>
    <w:rsid w:val="00EA7160"/>
    <w:rsid w:val="00EE36D6"/>
    <w:rsid w:val="00F5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88E9"/>
  <w15:chartTrackingRefBased/>
  <w15:docId w15:val="{74A61FB2-5FFF-4DF0-A2E8-CF841185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4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D726-B199-4275-80D8-2D4311A7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Kinsey</dc:creator>
  <cp:keywords/>
  <dc:description/>
  <cp:lastModifiedBy>Sheila Kinsey</cp:lastModifiedBy>
  <cp:revision>17</cp:revision>
  <cp:lastPrinted>2019-11-16T14:44:00Z</cp:lastPrinted>
  <dcterms:created xsi:type="dcterms:W3CDTF">2019-11-16T07:57:00Z</dcterms:created>
  <dcterms:modified xsi:type="dcterms:W3CDTF">2019-11-25T13:12:00Z</dcterms:modified>
</cp:coreProperties>
</file>